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A34" w:rsidRDefault="00CC2A34" w:rsidP="008A7916">
      <w:pPr>
        <w:spacing w:after="0" w:line="276" w:lineRule="auto"/>
        <w:rPr>
          <w:rFonts w:ascii="Times New Roman" w:hAnsi="Times New Roman" w:cs="Times New Roman"/>
        </w:rPr>
      </w:pPr>
      <w:r w:rsidRPr="008A7916">
        <w:rPr>
          <w:rFonts w:ascii="Times New Roman" w:hAnsi="Times New Roman" w:cs="Times New Roman"/>
        </w:rPr>
        <w:t>Appendix</w:t>
      </w:r>
    </w:p>
    <w:p w:rsidR="008A7916" w:rsidRPr="008A7916" w:rsidRDefault="008A7916" w:rsidP="008A7916">
      <w:pPr>
        <w:spacing w:after="0" w:line="276" w:lineRule="auto"/>
        <w:rPr>
          <w:rFonts w:ascii="Times New Roman" w:hAnsi="Times New Roman" w:cs="Times New Roman"/>
        </w:rPr>
      </w:pPr>
    </w:p>
    <w:p w:rsidR="00CC2A34" w:rsidRPr="008A7916" w:rsidRDefault="00CC2A34" w:rsidP="008A7916">
      <w:pPr>
        <w:spacing w:after="0" w:line="276" w:lineRule="auto"/>
        <w:rPr>
          <w:rFonts w:ascii="Times New Roman" w:hAnsi="Times New Roman" w:cs="Times New Roman"/>
        </w:rPr>
      </w:pPr>
      <w:r w:rsidRPr="008A7916">
        <w:rPr>
          <w:rFonts w:ascii="Times New Roman" w:hAnsi="Times New Roman" w:cs="Times New Roman"/>
        </w:rPr>
        <w:t>Links to Useful Information</w:t>
      </w:r>
    </w:p>
    <w:p w:rsidR="00CC2A34" w:rsidRPr="008A7916" w:rsidRDefault="00CC2A34" w:rsidP="008A7916">
      <w:pPr>
        <w:spacing w:after="0" w:line="276" w:lineRule="auto"/>
        <w:ind w:firstLine="720"/>
        <w:rPr>
          <w:rFonts w:ascii="Times New Roman" w:hAnsi="Times New Roman" w:cs="Times New Roman"/>
        </w:rPr>
      </w:pPr>
    </w:p>
    <w:p w:rsidR="00CC2A34" w:rsidRPr="008A7916" w:rsidRDefault="00CC2A34" w:rsidP="008A7916">
      <w:pPr>
        <w:spacing w:after="0" w:line="276" w:lineRule="auto"/>
        <w:rPr>
          <w:rFonts w:ascii="Times New Roman" w:hAnsi="Times New Roman" w:cs="Times New Roman"/>
        </w:rPr>
      </w:pPr>
      <w:r w:rsidRPr="008A7916">
        <w:rPr>
          <w:rFonts w:ascii="Times New Roman" w:hAnsi="Times New Roman" w:cs="Times New Roman"/>
        </w:rPr>
        <w:t>Part I</w:t>
      </w:r>
    </w:p>
    <w:p w:rsidR="00CC2A34" w:rsidRDefault="00CC2A34" w:rsidP="008A7916">
      <w:pPr>
        <w:spacing w:after="0" w:line="276" w:lineRule="auto"/>
        <w:rPr>
          <w:rFonts w:ascii="Times New Roman" w:hAnsi="Times New Roman" w:cs="Times New Roman"/>
        </w:rPr>
      </w:pPr>
      <w:r w:rsidRPr="008A7916">
        <w:rPr>
          <w:rFonts w:ascii="Times New Roman" w:hAnsi="Times New Roman" w:cs="Times New Roman"/>
        </w:rPr>
        <w:t>Professional Organizations Supporting the Study of Agricultural and Rural History:</w:t>
      </w:r>
    </w:p>
    <w:p w:rsidR="008A7916" w:rsidRPr="008A7916" w:rsidRDefault="008A7916" w:rsidP="008A7916">
      <w:pPr>
        <w:spacing w:after="0" w:line="276" w:lineRule="auto"/>
        <w:rPr>
          <w:rFonts w:ascii="Times New Roman" w:hAnsi="Times New Roman" w:cs="Times New Roman"/>
        </w:rPr>
      </w:pPr>
    </w:p>
    <w:p w:rsidR="00CC2A34" w:rsidRPr="008A7916" w:rsidRDefault="008A7916" w:rsidP="008A7916">
      <w:pPr>
        <w:spacing w:after="0" w:line="276" w:lineRule="auto"/>
        <w:rPr>
          <w:rFonts w:ascii="Times New Roman" w:hAnsi="Times New Roman" w:cs="Times New Roman"/>
        </w:rPr>
      </w:pPr>
      <w:r w:rsidRPr="008A7916">
        <w:rPr>
          <w:rFonts w:ascii="Times New Roman" w:hAnsi="Times New Roman" w:cs="Times New Roman"/>
        </w:rPr>
        <w:tab/>
        <w:t>This list includes names and websites for selected organizations that exist to support study and interpretation of the history of agriculture, and of rural and farm life.</w:t>
      </w:r>
    </w:p>
    <w:p w:rsidR="008A7916" w:rsidRPr="008A7916" w:rsidRDefault="008A7916" w:rsidP="008A7916">
      <w:pPr>
        <w:spacing w:after="0" w:line="276" w:lineRule="auto"/>
        <w:rPr>
          <w:rFonts w:ascii="Times New Roman" w:hAnsi="Times New Roman" w:cs="Times New Roman"/>
        </w:rPr>
      </w:pPr>
    </w:p>
    <w:p w:rsidR="00CC2A34" w:rsidRDefault="00CC2A34" w:rsidP="008A7916">
      <w:pPr>
        <w:spacing w:after="0" w:line="276" w:lineRule="auto"/>
        <w:rPr>
          <w:rFonts w:ascii="Times New Roman" w:eastAsia="Calibri" w:hAnsi="Times New Roman" w:cs="Times New Roman"/>
          <w:color w:val="000000"/>
        </w:rPr>
      </w:pPr>
      <w:r w:rsidRPr="008A7916">
        <w:rPr>
          <w:rFonts w:ascii="Times New Roman" w:hAnsi="Times New Roman" w:cs="Times New Roman"/>
        </w:rPr>
        <w:t>Part II</w:t>
      </w:r>
      <w:r w:rsidR="006E380E" w:rsidRPr="008A7916">
        <w:rPr>
          <w:rFonts w:ascii="Times New Roman" w:hAnsi="Times New Roman" w:cs="Times New Roman"/>
        </w:rPr>
        <w:t xml:space="preserve">: </w:t>
      </w:r>
      <w:r w:rsidRPr="008A7916">
        <w:rPr>
          <w:rFonts w:ascii="Times New Roman" w:eastAsia="Calibri" w:hAnsi="Times New Roman" w:cs="Times New Roman"/>
          <w:color w:val="000000"/>
        </w:rPr>
        <w:t>Selected Advocates of Agricultural Education and Potential for Partnering</w:t>
      </w:r>
    </w:p>
    <w:p w:rsidR="008A7916" w:rsidRPr="008A7916" w:rsidRDefault="008A7916" w:rsidP="008A7916">
      <w:pPr>
        <w:spacing w:after="0" w:line="276" w:lineRule="auto"/>
        <w:rPr>
          <w:rFonts w:ascii="Times New Roman" w:hAnsi="Times New Roman" w:cs="Times New Roman"/>
        </w:rPr>
      </w:pPr>
    </w:p>
    <w:p w:rsidR="006E380E" w:rsidRPr="008A7916" w:rsidRDefault="006E380E" w:rsidP="008A7916">
      <w:pPr>
        <w:spacing w:after="0" w:line="276" w:lineRule="auto"/>
        <w:ind w:firstLine="720"/>
        <w:rPr>
          <w:rFonts w:ascii="Times New Roman" w:hAnsi="Times New Roman" w:cs="Times New Roman"/>
        </w:rPr>
      </w:pPr>
      <w:r w:rsidRPr="008A7916">
        <w:rPr>
          <w:rFonts w:ascii="Times New Roman" w:hAnsi="Times New Roman" w:cs="Times New Roman"/>
        </w:rPr>
        <w:t>The National Council for Agricultural Education</w:t>
      </w:r>
      <w:r w:rsidRPr="008A7916">
        <w:rPr>
          <w:rStyle w:val="Strong"/>
          <w:rFonts w:ascii="Times New Roman" w:hAnsi="Times New Roman" w:cs="Times New Roman"/>
          <w:iCs/>
        </w:rPr>
        <w:t xml:space="preserve"> </w:t>
      </w:r>
      <w:r w:rsidRPr="008A7916">
        <w:rPr>
          <w:rStyle w:val="Strong"/>
          <w:rFonts w:ascii="Times New Roman" w:hAnsi="Times New Roman" w:cs="Times New Roman"/>
          <w:b w:val="0"/>
          <w:iCs/>
        </w:rPr>
        <w:t>(The Council) describes agricultural education as “</w:t>
      </w:r>
      <w:r w:rsidRPr="008A7916">
        <w:rPr>
          <w:rFonts w:ascii="Times New Roman" w:hAnsi="Times New Roman" w:cs="Times New Roman"/>
        </w:rPr>
        <w:t>a systematic program of instruction available to students desiring to learn about the science, business, and technology of plant and animal production and/or about the environmental and natural resources systems.”</w:t>
      </w:r>
      <w:r w:rsidR="00DA2958" w:rsidRPr="008A7916">
        <w:rPr>
          <w:rFonts w:ascii="Times New Roman" w:hAnsi="Times New Roman" w:cs="Times New Roman"/>
        </w:rPr>
        <w:t xml:space="preserve"> </w:t>
      </w:r>
      <w:r w:rsidR="004F0E01" w:rsidRPr="008A7916">
        <w:rPr>
          <w:rFonts w:ascii="Times New Roman" w:hAnsi="Times New Roman" w:cs="Times New Roman"/>
        </w:rPr>
        <w:t xml:space="preserve">In 1981, </w:t>
      </w:r>
      <w:r w:rsidRPr="008A7916">
        <w:rPr>
          <w:rFonts w:ascii="Times New Roman" w:hAnsi="Times New Roman" w:cs="Times New Roman"/>
        </w:rPr>
        <w:t xml:space="preserve">National Agriculture in the Classroom </w:t>
      </w:r>
      <w:r w:rsidR="004F0E01" w:rsidRPr="008A7916">
        <w:rPr>
          <w:rFonts w:ascii="Times New Roman" w:hAnsi="Times New Roman" w:cs="Times New Roman"/>
        </w:rPr>
        <w:t>was</w:t>
      </w:r>
      <w:r w:rsidRPr="008A7916">
        <w:rPr>
          <w:rFonts w:ascii="Times New Roman" w:hAnsi="Times New Roman" w:cs="Times New Roman"/>
        </w:rPr>
        <w:t xml:space="preserve"> launched</w:t>
      </w:r>
      <w:r w:rsidR="004F0E01" w:rsidRPr="008A7916">
        <w:rPr>
          <w:rFonts w:ascii="Times New Roman" w:hAnsi="Times New Roman" w:cs="Times New Roman"/>
        </w:rPr>
        <w:t xml:space="preserve"> </w:t>
      </w:r>
      <w:r w:rsidRPr="008A7916">
        <w:rPr>
          <w:rFonts w:ascii="Times New Roman" w:hAnsi="Times New Roman" w:cs="Times New Roman"/>
        </w:rPr>
        <w:t xml:space="preserve">through a partnership between the U.S. Department of Agriculture, and state departments of agriculture and state Farm Bureau offices. In 1988, the </w:t>
      </w:r>
      <w:r w:rsidRPr="008A7916">
        <w:rPr>
          <w:rFonts w:ascii="Times New Roman" w:eastAsiaTheme="minorEastAsia" w:hAnsi="Times New Roman" w:cs="Times New Roman"/>
          <w:color w:val="000000" w:themeColor="text1"/>
          <w:kern w:val="24"/>
        </w:rPr>
        <w:t>National Research Council (NRC) defined an agriculturally literate person as a person who “understand[s] the food and fiber system and this would include its history and its current economic, social and environmenta</w:t>
      </w:r>
      <w:r w:rsidR="004F0E01" w:rsidRPr="008A7916">
        <w:rPr>
          <w:rFonts w:ascii="Times New Roman" w:eastAsiaTheme="minorEastAsia" w:hAnsi="Times New Roman" w:cs="Times New Roman"/>
          <w:color w:val="000000" w:themeColor="text1"/>
          <w:kern w:val="24"/>
        </w:rPr>
        <w:t>l significance to all Americans</w:t>
      </w:r>
      <w:r w:rsidRPr="008A7916">
        <w:rPr>
          <w:rFonts w:ascii="Times New Roman" w:eastAsiaTheme="minorEastAsia" w:hAnsi="Times New Roman" w:cs="Times New Roman"/>
          <w:color w:val="000000" w:themeColor="text1"/>
          <w:kern w:val="24"/>
        </w:rPr>
        <w:t>”</w:t>
      </w:r>
      <w:r w:rsidR="004F0E01" w:rsidRPr="008A7916">
        <w:rPr>
          <w:rFonts w:ascii="Times New Roman" w:eastAsiaTheme="minorEastAsia" w:hAnsi="Times New Roman" w:cs="Times New Roman"/>
          <w:color w:val="000000" w:themeColor="text1"/>
          <w:kern w:val="24"/>
        </w:rPr>
        <w:t xml:space="preserve"> [</w:t>
      </w:r>
      <w:r w:rsidR="004F0E01" w:rsidRPr="008A7916">
        <w:rPr>
          <w:rFonts w:ascii="Times New Roman" w:hAnsi="Times New Roman" w:cs="Times New Roman"/>
        </w:rPr>
        <w:t>http://www.agclassroom.org/]. Numerous organizations support education in agriculture and preservation of farmsteads and landscapes. This list explains the goals of selected organization and the services they provide.</w:t>
      </w:r>
    </w:p>
    <w:p w:rsidR="00CC2A34" w:rsidRDefault="006E380E" w:rsidP="008A7916">
      <w:pPr>
        <w:spacing w:after="0" w:line="276" w:lineRule="auto"/>
        <w:rPr>
          <w:rFonts w:ascii="Times New Roman" w:hAnsi="Times New Roman" w:cs="Times New Roman"/>
        </w:rPr>
      </w:pPr>
      <w:r w:rsidRPr="008A7916">
        <w:rPr>
          <w:rFonts w:ascii="Times New Roman" w:hAnsi="Times New Roman" w:cs="Times New Roman"/>
        </w:rPr>
        <w:br/>
        <w:t xml:space="preserve">Part III: </w:t>
      </w:r>
      <w:r w:rsidR="00CC2A34" w:rsidRPr="008A7916">
        <w:rPr>
          <w:rFonts w:ascii="Times New Roman" w:hAnsi="Times New Roman" w:cs="Times New Roman"/>
        </w:rPr>
        <w:t>Selected Readings in Agricultural History</w:t>
      </w:r>
      <w:r w:rsidR="00DE2560" w:rsidRPr="008A7916">
        <w:rPr>
          <w:rFonts w:ascii="Times New Roman" w:hAnsi="Times New Roman" w:cs="Times New Roman"/>
        </w:rPr>
        <w:t>: A Bibliographic Essay</w:t>
      </w:r>
    </w:p>
    <w:p w:rsidR="008A7916" w:rsidRPr="008A7916" w:rsidRDefault="008A7916" w:rsidP="008A7916">
      <w:pPr>
        <w:spacing w:after="0" w:line="276" w:lineRule="auto"/>
        <w:rPr>
          <w:rFonts w:ascii="Times New Roman" w:hAnsi="Times New Roman" w:cs="Times New Roman"/>
        </w:rPr>
      </w:pPr>
    </w:p>
    <w:p w:rsidR="00CC2A34" w:rsidRPr="008A7916" w:rsidRDefault="00DE2560" w:rsidP="008A7916">
      <w:pPr>
        <w:spacing w:after="0" w:line="276" w:lineRule="auto"/>
        <w:ind w:firstLine="720"/>
        <w:rPr>
          <w:rFonts w:ascii="Times New Roman" w:hAnsi="Times New Roman" w:cs="Times New Roman"/>
        </w:rPr>
      </w:pPr>
      <w:r w:rsidRPr="008A7916">
        <w:rPr>
          <w:rFonts w:ascii="Times New Roman" w:hAnsi="Times New Roman" w:cs="Times New Roman"/>
        </w:rPr>
        <w:t>This bibliographic essay is organized by themes in agricultural history (i.e., politics and policy, markets, land, labor, technology, crop and stock cultures, and international relations). It starts with an introduction to national s</w:t>
      </w:r>
      <w:r w:rsidR="006E380E" w:rsidRPr="008A7916">
        <w:rPr>
          <w:rFonts w:ascii="Times New Roman" w:hAnsi="Times New Roman" w:cs="Times New Roman"/>
        </w:rPr>
        <w:t xml:space="preserve">urveys of agricultural history </w:t>
      </w:r>
      <w:r w:rsidRPr="008A7916">
        <w:rPr>
          <w:rFonts w:ascii="Times New Roman" w:hAnsi="Times New Roman" w:cs="Times New Roman"/>
        </w:rPr>
        <w:t xml:space="preserve">that </w:t>
      </w:r>
      <w:r w:rsidR="006E380E" w:rsidRPr="008A7916">
        <w:rPr>
          <w:rFonts w:ascii="Times New Roman" w:hAnsi="Times New Roman" w:cs="Times New Roman"/>
        </w:rPr>
        <w:t>can help you get a sense of social and cultural patterns of rural and farm life,</w:t>
      </w:r>
      <w:r w:rsidR="00682DF5" w:rsidRPr="008A7916">
        <w:rPr>
          <w:rFonts w:ascii="Times New Roman" w:hAnsi="Times New Roman" w:cs="Times New Roman"/>
        </w:rPr>
        <w:t xml:space="preserve"> and economic and policy issues</w:t>
      </w:r>
      <w:r w:rsidRPr="008A7916">
        <w:rPr>
          <w:rFonts w:ascii="Times New Roman" w:hAnsi="Times New Roman" w:cs="Times New Roman"/>
        </w:rPr>
        <w:t>. It provides information about resources to help you locate published primary sources (scientific treatises, for instance, produced in the 1800s) that can help you learn period-specific scientific terms and opinions of a time</w:t>
      </w:r>
      <w:r w:rsidR="00682DF5" w:rsidRPr="008A7916">
        <w:rPr>
          <w:rFonts w:ascii="Times New Roman" w:hAnsi="Times New Roman" w:cs="Times New Roman"/>
        </w:rPr>
        <w:t xml:space="preserve">. </w:t>
      </w:r>
      <w:r w:rsidRPr="008A7916">
        <w:rPr>
          <w:rFonts w:ascii="Times New Roman" w:hAnsi="Times New Roman" w:cs="Times New Roman"/>
        </w:rPr>
        <w:t xml:space="preserve">It includes brief overviews of major trends in U.S. agricultural history (i.e., formation of land-grant colleges, dryland farming, New Deal agricultural policy, war-time policy, and the Farm Crisis of the early 1980s to name a few). This reference list will help you identify </w:t>
      </w:r>
      <w:r w:rsidR="00BE2970" w:rsidRPr="008A7916">
        <w:rPr>
          <w:rFonts w:ascii="Times New Roman" w:hAnsi="Times New Roman" w:cs="Times New Roman"/>
        </w:rPr>
        <w:t>studies to launch reading circles and begin the process of documenting agricultural history relevant to your site.</w:t>
      </w:r>
    </w:p>
    <w:p w:rsidR="00682DF5" w:rsidRPr="008A7916" w:rsidRDefault="00682DF5" w:rsidP="008A7916">
      <w:pPr>
        <w:spacing w:after="0" w:line="276" w:lineRule="auto"/>
        <w:ind w:firstLine="720"/>
        <w:rPr>
          <w:rFonts w:ascii="Times New Roman" w:hAnsi="Times New Roman" w:cs="Times New Roman"/>
        </w:rPr>
      </w:pPr>
    </w:p>
    <w:p w:rsidR="00CC2A34" w:rsidRDefault="006E380E" w:rsidP="008A7916">
      <w:pPr>
        <w:spacing w:after="0" w:line="276" w:lineRule="auto"/>
        <w:rPr>
          <w:rFonts w:ascii="Times New Roman" w:hAnsi="Times New Roman" w:cs="Times New Roman"/>
        </w:rPr>
      </w:pPr>
      <w:r w:rsidRPr="008A7916">
        <w:rPr>
          <w:rFonts w:ascii="Times New Roman" w:hAnsi="Times New Roman" w:cs="Times New Roman"/>
        </w:rPr>
        <w:t xml:space="preserve">Part IV: </w:t>
      </w:r>
      <w:r w:rsidR="00CC2A34" w:rsidRPr="008A7916">
        <w:rPr>
          <w:rFonts w:ascii="Times New Roman" w:hAnsi="Times New Roman" w:cs="Times New Roman"/>
        </w:rPr>
        <w:t>Timeline: National Policy and Agrarian Legislation</w:t>
      </w:r>
    </w:p>
    <w:p w:rsidR="008A7916" w:rsidRPr="008A7916" w:rsidRDefault="008A7916" w:rsidP="008A7916">
      <w:pPr>
        <w:spacing w:after="0" w:line="276" w:lineRule="auto"/>
        <w:rPr>
          <w:rFonts w:ascii="Times New Roman" w:hAnsi="Times New Roman" w:cs="Times New Roman"/>
        </w:rPr>
      </w:pPr>
    </w:p>
    <w:p w:rsidR="00BE2970" w:rsidRPr="008A7916" w:rsidRDefault="00BE2970" w:rsidP="008A7916">
      <w:pPr>
        <w:spacing w:after="0" w:line="276" w:lineRule="auto"/>
        <w:ind w:firstLine="720"/>
        <w:rPr>
          <w:rFonts w:ascii="Times New Roman" w:hAnsi="Times New Roman" w:cs="Times New Roman"/>
        </w:rPr>
      </w:pPr>
      <w:r w:rsidRPr="008A7916">
        <w:rPr>
          <w:rFonts w:ascii="Times New Roman" w:hAnsi="Times New Roman" w:cs="Times New Roman"/>
        </w:rPr>
        <w:t xml:space="preserve">This timeline includes national policy and legislation affected by agrarianism, that is, legislation that favored farmers. The timeline includes events that affected policy, or that reacted to legislation. The content reflects three realities: 1) farmers took direct action when government policy did not favor their interests as the cases of organized protests or outright violence during the 1670s, 1780s, 1870s, 1930s, 1970s indicate; 2) most policy favored farmers or at least responded to farmer interests; 3) not all farmers received support in the form of proactive legislation. Poor and minority farmers did not fare well. This </w:t>
      </w:r>
      <w:r w:rsidRPr="008A7916">
        <w:rPr>
          <w:rFonts w:ascii="Times New Roman" w:hAnsi="Times New Roman" w:cs="Times New Roman"/>
        </w:rPr>
        <w:lastRenderedPageBreak/>
        <w:t>affirms that agriculture is an industry that is too big to fail. That was the case when the majority of the population had a direct connection to farmers, and it is just as true now as the majority of people depend upon a shrinking number of farmers for food and fiber.</w:t>
      </w:r>
    </w:p>
    <w:p w:rsidR="00CC2A34" w:rsidRPr="008A7916" w:rsidRDefault="00CC2A34" w:rsidP="008A7916">
      <w:pPr>
        <w:spacing w:after="0" w:line="276" w:lineRule="auto"/>
        <w:rPr>
          <w:rFonts w:ascii="Times New Roman" w:hAnsi="Times New Roman" w:cs="Times New Roman"/>
        </w:rPr>
      </w:pPr>
    </w:p>
    <w:p w:rsidR="00CC2A34" w:rsidRDefault="006E380E" w:rsidP="008A7916">
      <w:pPr>
        <w:spacing w:after="0" w:line="276" w:lineRule="auto"/>
        <w:rPr>
          <w:rFonts w:ascii="Times New Roman" w:hAnsi="Times New Roman" w:cs="Times New Roman"/>
        </w:rPr>
      </w:pPr>
      <w:r w:rsidRPr="008A7916">
        <w:rPr>
          <w:rFonts w:ascii="Times New Roman" w:hAnsi="Times New Roman" w:cs="Times New Roman"/>
        </w:rPr>
        <w:t xml:space="preserve">Part V: </w:t>
      </w:r>
      <w:r w:rsidR="00CC2A34" w:rsidRPr="008A7916">
        <w:rPr>
          <w:rFonts w:ascii="Times New Roman" w:hAnsi="Times New Roman" w:cs="Times New Roman"/>
        </w:rPr>
        <w:t>Livestock Care in Museums, updated in 2016, Association for Living History, Farm and Agricultural Museums. ALHFAM.com</w:t>
      </w:r>
    </w:p>
    <w:p w:rsidR="008A7916" w:rsidRPr="008A7916" w:rsidRDefault="008A7916" w:rsidP="008A7916">
      <w:pPr>
        <w:spacing w:after="0" w:line="276" w:lineRule="auto"/>
        <w:rPr>
          <w:rFonts w:ascii="Times New Roman" w:hAnsi="Times New Roman" w:cs="Times New Roman"/>
        </w:rPr>
      </w:pPr>
      <w:bookmarkStart w:id="0" w:name="_GoBack"/>
      <w:bookmarkEnd w:id="0"/>
    </w:p>
    <w:p w:rsidR="006E380E" w:rsidRPr="008A7916" w:rsidRDefault="006E380E" w:rsidP="008A7916">
      <w:pPr>
        <w:spacing w:after="0" w:line="276" w:lineRule="auto"/>
        <w:ind w:firstLine="720"/>
        <w:rPr>
          <w:rFonts w:ascii="Times New Roman" w:eastAsia="Times New Roman" w:hAnsi="Times New Roman" w:cs="Times New Roman"/>
        </w:rPr>
      </w:pPr>
      <w:r w:rsidRPr="008A7916">
        <w:rPr>
          <w:rFonts w:ascii="Times New Roman" w:eastAsia="Times New Roman" w:hAnsi="Times New Roman" w:cs="Times New Roman"/>
        </w:rPr>
        <w:t>This outline is intended as a guideline that museums and historic sites can use to develop livestock management policies and procedures unique to each museum and reflecting its mission and resources. The approval and input of the institution’s governing body and of livestock health professionals will lend credibility to, and increase public confidence in, a museum’s livestock program. For additional information, contact the chair of ALHFAM’s FARM Professional Interest Group.</w:t>
      </w:r>
    </w:p>
    <w:p w:rsidR="00B03034" w:rsidRPr="008A7916" w:rsidRDefault="00747610" w:rsidP="008A7916">
      <w:pPr>
        <w:spacing w:after="0" w:line="276" w:lineRule="auto"/>
      </w:pPr>
    </w:p>
    <w:sectPr w:rsidR="00B03034" w:rsidRPr="008A79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610" w:rsidRDefault="00747610" w:rsidP="006E380E">
      <w:pPr>
        <w:spacing w:after="0" w:line="240" w:lineRule="auto"/>
      </w:pPr>
      <w:r>
        <w:separator/>
      </w:r>
    </w:p>
  </w:endnote>
  <w:endnote w:type="continuationSeparator" w:id="0">
    <w:p w:rsidR="00747610" w:rsidRDefault="00747610" w:rsidP="006E3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610" w:rsidRDefault="00747610" w:rsidP="006E380E">
      <w:pPr>
        <w:spacing w:after="0" w:line="240" w:lineRule="auto"/>
      </w:pPr>
      <w:r>
        <w:separator/>
      </w:r>
    </w:p>
  </w:footnote>
  <w:footnote w:type="continuationSeparator" w:id="0">
    <w:p w:rsidR="00747610" w:rsidRDefault="00747610" w:rsidP="006E38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A34"/>
    <w:rsid w:val="001A071E"/>
    <w:rsid w:val="001A5162"/>
    <w:rsid w:val="002340D4"/>
    <w:rsid w:val="00254A9A"/>
    <w:rsid w:val="004F0E01"/>
    <w:rsid w:val="005D2089"/>
    <w:rsid w:val="00682DF5"/>
    <w:rsid w:val="006E380E"/>
    <w:rsid w:val="00747610"/>
    <w:rsid w:val="008A7916"/>
    <w:rsid w:val="00B244C1"/>
    <w:rsid w:val="00BE2970"/>
    <w:rsid w:val="00CC2A34"/>
    <w:rsid w:val="00DA2958"/>
    <w:rsid w:val="00DE2560"/>
    <w:rsid w:val="00E91B2B"/>
    <w:rsid w:val="00F02C1D"/>
    <w:rsid w:val="00FA3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9AB455-0464-4D32-A0CC-83C43D5A9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A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2A34"/>
    <w:rPr>
      <w:color w:val="0563C1" w:themeColor="hyperlink"/>
      <w:u w:val="single"/>
    </w:rPr>
  </w:style>
  <w:style w:type="character" w:styleId="Strong">
    <w:name w:val="Strong"/>
    <w:basedOn w:val="DefaultParagraphFont"/>
    <w:uiPriority w:val="22"/>
    <w:qFormat/>
    <w:rsid w:val="006E380E"/>
    <w:rPr>
      <w:b/>
      <w:bCs/>
    </w:rPr>
  </w:style>
  <w:style w:type="paragraph" w:styleId="EndnoteText">
    <w:name w:val="endnote text"/>
    <w:basedOn w:val="Normal"/>
    <w:link w:val="EndnoteTextChar"/>
    <w:uiPriority w:val="99"/>
    <w:semiHidden/>
    <w:unhideWhenUsed/>
    <w:rsid w:val="006E380E"/>
    <w:pPr>
      <w:spacing w:after="0" w:line="240" w:lineRule="auto"/>
    </w:pPr>
    <w:rPr>
      <w:rFonts w:ascii="Calibri" w:eastAsia="Calibri" w:hAnsi="Calibri" w:cs="Calibri"/>
      <w:color w:val="000000"/>
      <w:sz w:val="20"/>
      <w:szCs w:val="20"/>
    </w:rPr>
  </w:style>
  <w:style w:type="character" w:customStyle="1" w:styleId="EndnoteTextChar">
    <w:name w:val="Endnote Text Char"/>
    <w:basedOn w:val="DefaultParagraphFont"/>
    <w:link w:val="EndnoteText"/>
    <w:uiPriority w:val="99"/>
    <w:semiHidden/>
    <w:rsid w:val="006E380E"/>
    <w:rPr>
      <w:rFonts w:ascii="Calibri" w:eastAsia="Calibri" w:hAnsi="Calibri" w:cs="Calibri"/>
      <w:color w:val="000000"/>
      <w:sz w:val="20"/>
      <w:szCs w:val="20"/>
    </w:rPr>
  </w:style>
  <w:style w:type="character" w:styleId="EndnoteReference">
    <w:name w:val="endnote reference"/>
    <w:basedOn w:val="DefaultParagraphFont"/>
    <w:uiPriority w:val="99"/>
    <w:semiHidden/>
    <w:unhideWhenUsed/>
    <w:rsid w:val="006E380E"/>
    <w:rPr>
      <w:vertAlign w:val="superscript"/>
    </w:rPr>
  </w:style>
  <w:style w:type="character" w:styleId="Emphasis">
    <w:name w:val="Emphasis"/>
    <w:basedOn w:val="DefaultParagraphFont"/>
    <w:uiPriority w:val="20"/>
    <w:qFormat/>
    <w:rsid w:val="006E380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Eastern Illinois University</Company>
  <LinksUpToDate>false</LinksUpToDate>
  <CharactersWithSpaces>4019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 A Reid</dc:creator>
  <cp:keywords/>
  <dc:description/>
  <cp:lastModifiedBy>Debra A Reid</cp:lastModifiedBy>
  <cp:revision>2</cp:revision>
  <dcterms:created xsi:type="dcterms:W3CDTF">2016-08-24T18:26:00Z</dcterms:created>
  <dcterms:modified xsi:type="dcterms:W3CDTF">2016-08-24T18:26:00Z</dcterms:modified>
</cp:coreProperties>
</file>